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30 – Prepare for Third-Party Compliance Audit</w:t>
      </w:r>
    </w:p>
    <w:p>
      <w:r>
        <w:t>☐ Confirm all active contracts have attachments and metadata populated.</w:t>
      </w:r>
    </w:p>
    <w:p>
      <w:r>
        <w:t>☐ Verify all assets are linked to valid users, contracts, and lifecycle states.</w:t>
      </w:r>
    </w:p>
    <w:p>
      <w:r>
        <w:t>☐ Review software items for correct license type, owner, and usage records.</w:t>
      </w:r>
    </w:p>
    <w:p>
      <w:r>
        <w:t>☐ Validate Audit Logs: check workflow changes, role/group edits, ticket activity.</w:t>
      </w:r>
    </w:p>
    <w:p>
      <w:r>
        <w:t>☐ Export evidence reports: assets, licenses, KB activity, contracts.</w:t>
      </w:r>
    </w:p>
    <w:p>
      <w:r>
        <w:t>☐ Store audit evidence in a secure folder with restricted access.</w:t>
      </w:r>
    </w:p>
    <w:p>
      <w:r>
        <w:t>☐ Create summary documentation linking each audit requirement to exported data.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